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101B9" w14:textId="77777777" w:rsidR="00505EE7" w:rsidRPr="004D521D" w:rsidRDefault="00505EE7" w:rsidP="00505EE7">
      <w:pPr>
        <w:pStyle w:val="Heading1"/>
        <w:ind w:left="118" w:firstLine="0"/>
        <w:jc w:val="left"/>
        <w:rPr>
          <w:rFonts w:asciiTheme="minorHAnsi" w:hAnsiTheme="minorHAnsi" w:cstheme="minorHAnsi"/>
          <w:szCs w:val="28"/>
        </w:rPr>
      </w:pPr>
      <w:bookmarkStart w:id="0" w:name="_Toc111476423"/>
      <w:r w:rsidRPr="004D521D">
        <w:rPr>
          <w:rFonts w:asciiTheme="minorHAnsi" w:hAnsiTheme="minorHAnsi" w:cstheme="minorHAnsi"/>
          <w:color w:val="00B050"/>
          <w:szCs w:val="28"/>
          <w:u w:color="231F20"/>
        </w:rPr>
        <w:t>CHAPTER</w:t>
      </w:r>
      <w:r w:rsidRPr="004D521D">
        <w:rPr>
          <w:rFonts w:asciiTheme="minorHAnsi" w:hAnsiTheme="minorHAnsi" w:cstheme="minorHAnsi"/>
          <w:color w:val="00B050"/>
          <w:spacing w:val="-25"/>
          <w:szCs w:val="28"/>
          <w:u w:color="231F20"/>
        </w:rPr>
        <w:t xml:space="preserve"> </w:t>
      </w:r>
      <w:r w:rsidRPr="004D521D">
        <w:rPr>
          <w:rFonts w:asciiTheme="minorHAnsi" w:hAnsiTheme="minorHAnsi" w:cstheme="minorHAnsi"/>
          <w:color w:val="00B050"/>
          <w:szCs w:val="28"/>
          <w:u w:color="231F20"/>
        </w:rPr>
        <w:t>11</w:t>
      </w:r>
      <w:r w:rsidRPr="004D521D">
        <w:rPr>
          <w:rFonts w:asciiTheme="minorHAnsi" w:hAnsiTheme="minorHAnsi" w:cstheme="minorHAnsi"/>
          <w:color w:val="00B050"/>
          <w:spacing w:val="21"/>
          <w:szCs w:val="28"/>
          <w:u w:color="231F20"/>
        </w:rPr>
        <w:t xml:space="preserve"> </w:t>
      </w:r>
      <w:r w:rsidRPr="004D521D">
        <w:rPr>
          <w:rFonts w:asciiTheme="minorHAnsi" w:hAnsiTheme="minorHAnsi" w:cstheme="minorHAnsi"/>
          <w:color w:val="00B050"/>
          <w:szCs w:val="28"/>
          <w:u w:color="231F20"/>
        </w:rPr>
        <w:t>MONEY,</w:t>
      </w:r>
      <w:r w:rsidRPr="004D521D">
        <w:rPr>
          <w:rFonts w:asciiTheme="minorHAnsi" w:hAnsiTheme="minorHAnsi" w:cstheme="minorHAnsi"/>
          <w:color w:val="00B050"/>
          <w:spacing w:val="-15"/>
          <w:szCs w:val="28"/>
          <w:u w:color="231F20"/>
        </w:rPr>
        <w:t xml:space="preserve"> </w:t>
      </w:r>
      <w:r w:rsidRPr="004D521D">
        <w:rPr>
          <w:rFonts w:asciiTheme="minorHAnsi" w:hAnsiTheme="minorHAnsi" w:cstheme="minorHAnsi"/>
          <w:color w:val="00B050"/>
          <w:szCs w:val="28"/>
          <w:u w:color="231F20"/>
        </w:rPr>
        <w:t>BANKING</w:t>
      </w:r>
      <w:r w:rsidRPr="004D521D">
        <w:rPr>
          <w:rFonts w:asciiTheme="minorHAnsi" w:hAnsiTheme="minorHAnsi" w:cstheme="minorHAnsi"/>
          <w:color w:val="00B050"/>
          <w:spacing w:val="-33"/>
          <w:szCs w:val="28"/>
          <w:u w:color="231F20"/>
        </w:rPr>
        <w:t xml:space="preserve"> </w:t>
      </w:r>
      <w:r w:rsidRPr="004D521D">
        <w:rPr>
          <w:rFonts w:asciiTheme="minorHAnsi" w:hAnsiTheme="minorHAnsi" w:cstheme="minorHAnsi"/>
          <w:color w:val="00B050"/>
          <w:szCs w:val="28"/>
          <w:u w:color="231F20"/>
        </w:rPr>
        <w:t>AND</w:t>
      </w:r>
      <w:r w:rsidRPr="004D521D">
        <w:rPr>
          <w:rFonts w:asciiTheme="minorHAnsi" w:hAnsiTheme="minorHAnsi" w:cstheme="minorHAnsi"/>
          <w:color w:val="00B050"/>
          <w:spacing w:val="-15"/>
          <w:szCs w:val="28"/>
          <w:u w:color="231F20"/>
        </w:rPr>
        <w:t xml:space="preserve"> </w:t>
      </w:r>
      <w:r w:rsidRPr="004D521D">
        <w:rPr>
          <w:rFonts w:asciiTheme="minorHAnsi" w:hAnsiTheme="minorHAnsi" w:cstheme="minorHAnsi"/>
          <w:color w:val="00B050"/>
          <w:spacing w:val="-2"/>
          <w:szCs w:val="28"/>
          <w:u w:color="231F20"/>
        </w:rPr>
        <w:t>FINANCE</w:t>
      </w:r>
      <w:bookmarkEnd w:id="0"/>
      <w:r w:rsidRPr="004D521D">
        <w:rPr>
          <w:rFonts w:asciiTheme="minorHAnsi" w:hAnsiTheme="minorHAnsi" w:cstheme="minorHAnsi"/>
          <w:szCs w:val="28"/>
          <w:u w:color="231F20"/>
        </w:rPr>
        <w:tab/>
      </w:r>
    </w:p>
    <w:p w14:paraId="30BBC317" w14:textId="77777777" w:rsidR="00505EE7" w:rsidRDefault="00505EE7" w:rsidP="00505EE7">
      <w:pPr>
        <w:spacing w:before="357" w:line="285" w:lineRule="auto"/>
        <w:ind w:left="118" w:right="476"/>
        <w:jc w:val="both"/>
      </w:pPr>
      <w:r>
        <w:rPr>
          <w:noProof/>
          <w:color w:val="231F20"/>
          <w:lang w:val="en-GB" w:eastAsia="en-GB" w:bidi="ar-SA"/>
        </w:rPr>
        <mc:AlternateContent>
          <mc:Choice Requires="wps">
            <w:drawing>
              <wp:anchor distT="0" distB="0" distL="114300" distR="114300" simplePos="0" relativeHeight="251659264" behindDoc="0" locked="0" layoutInCell="1" allowOverlap="1" wp14:anchorId="3988B3E6" wp14:editId="4C6A522D">
                <wp:simplePos x="0" y="0"/>
                <wp:positionH relativeFrom="margin">
                  <wp:posOffset>114300</wp:posOffset>
                </wp:positionH>
                <wp:positionV relativeFrom="paragraph">
                  <wp:posOffset>21590</wp:posOffset>
                </wp:positionV>
                <wp:extent cx="5880100" cy="44450"/>
                <wp:effectExtent l="0" t="0" r="25400" b="31750"/>
                <wp:wrapNone/>
                <wp:docPr id="155" name="Straight Connector 155"/>
                <wp:cNvGraphicFramePr/>
                <a:graphic xmlns:a="http://schemas.openxmlformats.org/drawingml/2006/main">
                  <a:graphicData uri="http://schemas.microsoft.com/office/word/2010/wordprocessingShape">
                    <wps:wsp>
                      <wps:cNvCnPr/>
                      <wps:spPr>
                        <a:xfrm flipV="1">
                          <a:off x="0" y="0"/>
                          <a:ext cx="5880100" cy="4445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606366" id="Straight Connector 155"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1.7pt" to="472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" strokecolor="black [3200]" strokeweight="1pt">
                <v:stroke joinstyle="miter"/>
                <w10:wrap anchorx="margin"/>
              </v:line>
            </w:pict>
          </mc:Fallback>
        </mc:AlternateContent>
      </w:r>
      <w:r w:rsidRPr="006622F3">
        <w:rPr>
          <w:color w:val="231F20"/>
        </w:rPr>
        <w:t>Until</w:t>
      </w:r>
      <w:r w:rsidRPr="006622F3">
        <w:rPr>
          <w:color w:val="231F20"/>
          <w:spacing w:val="-2"/>
        </w:rPr>
        <w:t xml:space="preserve"> </w:t>
      </w:r>
      <w:r w:rsidRPr="006622F3">
        <w:rPr>
          <w:color w:val="231F20"/>
        </w:rPr>
        <w:t>recent</w:t>
      </w:r>
      <w:r w:rsidRPr="006622F3">
        <w:rPr>
          <w:color w:val="231F20"/>
          <w:spacing w:val="-2"/>
        </w:rPr>
        <w:t xml:space="preserve"> </w:t>
      </w:r>
      <w:r w:rsidRPr="006622F3">
        <w:rPr>
          <w:color w:val="231F20"/>
        </w:rPr>
        <w:t>times</w:t>
      </w:r>
      <w:r w:rsidRPr="006622F3">
        <w:rPr>
          <w:color w:val="231F20"/>
          <w:spacing w:val="-2"/>
        </w:rPr>
        <w:t xml:space="preserve"> </w:t>
      </w:r>
      <w:r w:rsidRPr="006622F3">
        <w:rPr>
          <w:color w:val="231F20"/>
        </w:rPr>
        <w:t>most</w:t>
      </w:r>
      <w:r w:rsidRPr="006622F3">
        <w:rPr>
          <w:color w:val="231F20"/>
          <w:spacing w:val="-2"/>
        </w:rPr>
        <w:t xml:space="preserve"> </w:t>
      </w:r>
      <w:r w:rsidRPr="006622F3">
        <w:rPr>
          <w:color w:val="231F20"/>
        </w:rPr>
        <w:t>economic</w:t>
      </w:r>
      <w:r w:rsidRPr="006622F3">
        <w:rPr>
          <w:color w:val="231F20"/>
          <w:spacing w:val="-2"/>
        </w:rPr>
        <w:t xml:space="preserve"> </w:t>
      </w:r>
      <w:r w:rsidRPr="006622F3">
        <w:rPr>
          <w:color w:val="231F20"/>
        </w:rPr>
        <w:t>transactions</w:t>
      </w:r>
      <w:r w:rsidRPr="006622F3">
        <w:rPr>
          <w:color w:val="231F20"/>
          <w:spacing w:val="-2"/>
        </w:rPr>
        <w:t xml:space="preserve"> </w:t>
      </w:r>
      <w:r w:rsidRPr="006622F3">
        <w:rPr>
          <w:color w:val="231F20"/>
        </w:rPr>
        <w:t>in</w:t>
      </w:r>
      <w:r w:rsidRPr="006622F3">
        <w:rPr>
          <w:color w:val="231F20"/>
          <w:spacing w:val="-2"/>
        </w:rPr>
        <w:t xml:space="preserve"> </w:t>
      </w:r>
      <w:r w:rsidRPr="006622F3">
        <w:rPr>
          <w:color w:val="231F20"/>
        </w:rPr>
        <w:t>Bhutan</w:t>
      </w:r>
      <w:r w:rsidRPr="006622F3">
        <w:rPr>
          <w:color w:val="231F20"/>
          <w:spacing w:val="-2"/>
        </w:rPr>
        <w:t xml:space="preserve"> </w:t>
      </w:r>
      <w:r w:rsidRPr="006622F3">
        <w:rPr>
          <w:color w:val="231F20"/>
        </w:rPr>
        <w:t>were</w:t>
      </w:r>
      <w:r w:rsidRPr="006622F3">
        <w:rPr>
          <w:color w:val="231F20"/>
          <w:spacing w:val="-2"/>
        </w:rPr>
        <w:t xml:space="preserve"> </w:t>
      </w:r>
      <w:r w:rsidRPr="006622F3">
        <w:rPr>
          <w:color w:val="231F20"/>
        </w:rPr>
        <w:t>carried</w:t>
      </w:r>
      <w:r w:rsidRPr="006622F3">
        <w:rPr>
          <w:color w:val="231F20"/>
          <w:spacing w:val="-2"/>
        </w:rPr>
        <w:t xml:space="preserve"> </w:t>
      </w:r>
      <w:r w:rsidRPr="006622F3">
        <w:rPr>
          <w:color w:val="231F20"/>
        </w:rPr>
        <w:t>out</w:t>
      </w:r>
      <w:r w:rsidRPr="006622F3">
        <w:rPr>
          <w:color w:val="231F20"/>
          <w:spacing w:val="-2"/>
        </w:rPr>
        <w:t xml:space="preserve"> </w:t>
      </w:r>
      <w:r w:rsidRPr="006622F3">
        <w:rPr>
          <w:color w:val="231F20"/>
        </w:rPr>
        <w:t>on</w:t>
      </w:r>
      <w:r w:rsidRPr="006622F3">
        <w:rPr>
          <w:color w:val="231F20"/>
          <w:spacing w:val="-2"/>
        </w:rPr>
        <w:t xml:space="preserve"> </w:t>
      </w:r>
      <w:r w:rsidRPr="006622F3">
        <w:rPr>
          <w:color w:val="231F20"/>
        </w:rPr>
        <w:t>the</w:t>
      </w:r>
      <w:r w:rsidRPr="006622F3">
        <w:rPr>
          <w:color w:val="231F20"/>
          <w:spacing w:val="-2"/>
        </w:rPr>
        <w:t xml:space="preserve"> </w:t>
      </w:r>
      <w:r w:rsidRPr="006622F3">
        <w:rPr>
          <w:color w:val="231F20"/>
        </w:rPr>
        <w:t>basis</w:t>
      </w:r>
      <w:r w:rsidRPr="006622F3">
        <w:rPr>
          <w:color w:val="231F20"/>
          <w:spacing w:val="-2"/>
        </w:rPr>
        <w:t xml:space="preserve"> </w:t>
      </w:r>
      <w:r w:rsidRPr="006622F3">
        <w:rPr>
          <w:color w:val="231F20"/>
        </w:rPr>
        <w:t xml:space="preserve">of barter arrangements. The widespread use of money commenced during the 1960s with the expansion of trade with India and the inflow of development assistance. The Indian Rupee was used till 1974 when the Royal Government issued its first currency notes the Ngultrum. Since then, the monetary section has grown rapidly resulting in the dramatic economic development and improvement in transport and communication, planned urbanization in spite of the fact that barter economy still remains in some part of the </w:t>
      </w:r>
      <w:r w:rsidRPr="006622F3">
        <w:rPr>
          <w:color w:val="231F20"/>
          <w:spacing w:val="-2"/>
        </w:rPr>
        <w:t>country.</w:t>
      </w:r>
      <w:r w:rsidRPr="006622F3">
        <w:rPr>
          <w:color w:val="231F20"/>
          <w:spacing w:val="-14"/>
        </w:rPr>
        <w:t xml:space="preserve"> </w:t>
      </w:r>
      <w:r w:rsidRPr="006622F3">
        <w:rPr>
          <w:color w:val="231F20"/>
          <w:spacing w:val="-2"/>
        </w:rPr>
        <w:t>The</w:t>
      </w:r>
      <w:r w:rsidRPr="006622F3">
        <w:rPr>
          <w:color w:val="231F20"/>
          <w:spacing w:val="-13"/>
        </w:rPr>
        <w:t xml:space="preserve"> </w:t>
      </w:r>
      <w:r w:rsidRPr="006622F3">
        <w:rPr>
          <w:color w:val="231F20"/>
          <w:spacing w:val="-2"/>
        </w:rPr>
        <w:t>monetary</w:t>
      </w:r>
      <w:r w:rsidRPr="006622F3">
        <w:rPr>
          <w:color w:val="231F20"/>
          <w:spacing w:val="-7"/>
        </w:rPr>
        <w:t xml:space="preserve"> </w:t>
      </w:r>
      <w:r w:rsidRPr="006622F3">
        <w:rPr>
          <w:color w:val="231F20"/>
          <w:spacing w:val="-2"/>
        </w:rPr>
        <w:t>sector</w:t>
      </w:r>
      <w:r w:rsidRPr="006622F3">
        <w:rPr>
          <w:color w:val="231F20"/>
          <w:spacing w:val="-3"/>
        </w:rPr>
        <w:t xml:space="preserve"> </w:t>
      </w:r>
      <w:r w:rsidRPr="006622F3">
        <w:rPr>
          <w:color w:val="231F20"/>
          <w:spacing w:val="-2"/>
        </w:rPr>
        <w:t>in</w:t>
      </w:r>
      <w:r w:rsidRPr="006622F3">
        <w:rPr>
          <w:color w:val="231F20"/>
          <w:spacing w:val="-3"/>
        </w:rPr>
        <w:t xml:space="preserve"> </w:t>
      </w:r>
      <w:r w:rsidRPr="006622F3">
        <w:rPr>
          <w:color w:val="231F20"/>
          <w:spacing w:val="-2"/>
        </w:rPr>
        <w:t>Bhutan</w:t>
      </w:r>
      <w:r w:rsidRPr="006622F3">
        <w:rPr>
          <w:color w:val="231F20"/>
          <w:spacing w:val="-3"/>
        </w:rPr>
        <w:t xml:space="preserve"> </w:t>
      </w:r>
      <w:r w:rsidRPr="006622F3">
        <w:rPr>
          <w:color w:val="231F20"/>
          <w:spacing w:val="-2"/>
        </w:rPr>
        <w:t>comprises</w:t>
      </w:r>
      <w:r w:rsidRPr="006622F3">
        <w:rPr>
          <w:color w:val="231F20"/>
          <w:spacing w:val="-3"/>
        </w:rPr>
        <w:t xml:space="preserve"> </w:t>
      </w:r>
      <w:r w:rsidRPr="006622F3">
        <w:rPr>
          <w:color w:val="231F20"/>
          <w:spacing w:val="-2"/>
        </w:rPr>
        <w:t>the</w:t>
      </w:r>
      <w:r w:rsidRPr="006622F3">
        <w:rPr>
          <w:color w:val="231F20"/>
          <w:spacing w:val="-3"/>
        </w:rPr>
        <w:t xml:space="preserve"> </w:t>
      </w:r>
      <w:r w:rsidRPr="006622F3">
        <w:rPr>
          <w:color w:val="231F20"/>
          <w:spacing w:val="-2"/>
        </w:rPr>
        <w:t>Royal</w:t>
      </w:r>
      <w:r w:rsidRPr="006622F3">
        <w:rPr>
          <w:color w:val="231F20"/>
          <w:spacing w:val="-4"/>
        </w:rPr>
        <w:t xml:space="preserve"> </w:t>
      </w:r>
      <w:r w:rsidRPr="006622F3">
        <w:rPr>
          <w:color w:val="231F20"/>
          <w:spacing w:val="-2"/>
        </w:rPr>
        <w:t>Monetary</w:t>
      </w:r>
      <w:r w:rsidRPr="006622F3">
        <w:rPr>
          <w:color w:val="231F20"/>
          <w:spacing w:val="-14"/>
        </w:rPr>
        <w:t xml:space="preserve"> </w:t>
      </w:r>
      <w:r w:rsidRPr="006622F3">
        <w:rPr>
          <w:color w:val="231F20"/>
          <w:spacing w:val="-2"/>
        </w:rPr>
        <w:t xml:space="preserve">Authority (Bhutan’s </w:t>
      </w:r>
      <w:r w:rsidRPr="006622F3">
        <w:rPr>
          <w:color w:val="231F20"/>
        </w:rPr>
        <w:t>Central</w:t>
      </w:r>
      <w:r w:rsidRPr="006622F3">
        <w:rPr>
          <w:color w:val="231F20"/>
          <w:spacing w:val="-6"/>
        </w:rPr>
        <w:t xml:space="preserve"> </w:t>
      </w:r>
      <w:r w:rsidRPr="006622F3">
        <w:rPr>
          <w:color w:val="231F20"/>
        </w:rPr>
        <w:t>Bank);</w:t>
      </w:r>
      <w:r w:rsidRPr="006622F3">
        <w:rPr>
          <w:color w:val="231F20"/>
          <w:spacing w:val="-6"/>
        </w:rPr>
        <w:t xml:space="preserve"> </w:t>
      </w:r>
      <w:r w:rsidRPr="006622F3">
        <w:rPr>
          <w:color w:val="231F20"/>
        </w:rPr>
        <w:t>the</w:t>
      </w:r>
      <w:r w:rsidRPr="006622F3">
        <w:rPr>
          <w:color w:val="231F20"/>
          <w:spacing w:val="-6"/>
        </w:rPr>
        <w:t xml:space="preserve"> </w:t>
      </w:r>
      <w:r w:rsidRPr="006622F3">
        <w:rPr>
          <w:color w:val="231F20"/>
        </w:rPr>
        <w:t>Bank</w:t>
      </w:r>
      <w:r w:rsidRPr="006622F3">
        <w:rPr>
          <w:color w:val="231F20"/>
          <w:spacing w:val="-6"/>
        </w:rPr>
        <w:t xml:space="preserve"> </w:t>
      </w:r>
      <w:r w:rsidRPr="006622F3">
        <w:rPr>
          <w:color w:val="231F20"/>
        </w:rPr>
        <w:t>of</w:t>
      </w:r>
      <w:r w:rsidRPr="006622F3">
        <w:rPr>
          <w:color w:val="231F20"/>
          <w:spacing w:val="-6"/>
        </w:rPr>
        <w:t xml:space="preserve"> </w:t>
      </w:r>
      <w:r w:rsidRPr="006622F3">
        <w:rPr>
          <w:color w:val="231F20"/>
        </w:rPr>
        <w:t>Bhutan</w:t>
      </w:r>
      <w:r w:rsidRPr="006622F3">
        <w:rPr>
          <w:color w:val="231F20"/>
          <w:spacing w:val="-6"/>
        </w:rPr>
        <w:t xml:space="preserve"> </w:t>
      </w:r>
      <w:r w:rsidRPr="006622F3">
        <w:rPr>
          <w:color w:val="231F20"/>
        </w:rPr>
        <w:t>and</w:t>
      </w:r>
      <w:r w:rsidRPr="006622F3">
        <w:rPr>
          <w:color w:val="231F20"/>
          <w:spacing w:val="-6"/>
        </w:rPr>
        <w:t xml:space="preserve"> </w:t>
      </w:r>
      <w:r w:rsidRPr="006622F3">
        <w:rPr>
          <w:color w:val="231F20"/>
        </w:rPr>
        <w:t>the</w:t>
      </w:r>
      <w:r w:rsidRPr="006622F3">
        <w:rPr>
          <w:color w:val="231F20"/>
          <w:spacing w:val="-6"/>
        </w:rPr>
        <w:t xml:space="preserve"> </w:t>
      </w:r>
      <w:r w:rsidRPr="006622F3">
        <w:rPr>
          <w:color w:val="231F20"/>
        </w:rPr>
        <w:t>Bhutan</w:t>
      </w:r>
      <w:r w:rsidRPr="006622F3">
        <w:rPr>
          <w:color w:val="231F20"/>
          <w:spacing w:val="-6"/>
        </w:rPr>
        <w:t xml:space="preserve"> </w:t>
      </w:r>
      <w:r w:rsidRPr="006622F3">
        <w:rPr>
          <w:color w:val="231F20"/>
        </w:rPr>
        <w:t>National</w:t>
      </w:r>
      <w:r w:rsidRPr="006622F3">
        <w:rPr>
          <w:color w:val="231F20"/>
          <w:spacing w:val="-6"/>
        </w:rPr>
        <w:t xml:space="preserve"> </w:t>
      </w:r>
      <w:r w:rsidRPr="006622F3">
        <w:rPr>
          <w:color w:val="231F20"/>
        </w:rPr>
        <w:t>Bank.</w:t>
      </w:r>
      <w:r w:rsidRPr="006622F3">
        <w:rPr>
          <w:color w:val="231F20"/>
          <w:spacing w:val="-16"/>
        </w:rPr>
        <w:t xml:space="preserve"> </w:t>
      </w:r>
      <w:r w:rsidRPr="006622F3">
        <w:rPr>
          <w:color w:val="231F20"/>
        </w:rPr>
        <w:t>The</w:t>
      </w:r>
      <w:r w:rsidRPr="006622F3">
        <w:rPr>
          <w:color w:val="231F20"/>
          <w:spacing w:val="-6"/>
        </w:rPr>
        <w:t xml:space="preserve"> </w:t>
      </w:r>
      <w:r w:rsidRPr="006622F3">
        <w:rPr>
          <w:color w:val="231F20"/>
        </w:rPr>
        <w:t>non-bank</w:t>
      </w:r>
      <w:r w:rsidRPr="006622F3">
        <w:rPr>
          <w:color w:val="231F20"/>
          <w:spacing w:val="-6"/>
        </w:rPr>
        <w:t xml:space="preserve"> </w:t>
      </w:r>
      <w:r w:rsidRPr="006622F3">
        <w:rPr>
          <w:color w:val="231F20"/>
        </w:rPr>
        <w:t>financial institutions are the Royal Insurance Corporation of Bhutan and the Bhutan Development Finance Corporation, which was established during 1988 to provide long-term loans for development purposes.</w:t>
      </w:r>
    </w:p>
    <w:p w14:paraId="2E381BA1" w14:textId="77777777" w:rsidR="00505EE7" w:rsidRPr="006622F3" w:rsidRDefault="00505EE7" w:rsidP="00505EE7">
      <w:pPr>
        <w:spacing w:line="285" w:lineRule="auto"/>
        <w:ind w:left="118" w:right="477"/>
        <w:jc w:val="both"/>
      </w:pPr>
      <w:r w:rsidRPr="006622F3">
        <w:rPr>
          <w:color w:val="231F20"/>
        </w:rPr>
        <w:t>The Royal Monetary</w:t>
      </w:r>
      <w:r w:rsidRPr="006622F3">
        <w:rPr>
          <w:color w:val="231F20"/>
          <w:spacing w:val="-14"/>
        </w:rPr>
        <w:t xml:space="preserve"> </w:t>
      </w:r>
      <w:r w:rsidRPr="006622F3">
        <w:rPr>
          <w:color w:val="231F20"/>
        </w:rPr>
        <w:t xml:space="preserve">Authority has developed a comprehensive statistical system for the money, banking and finance sector. Important economic indicators are available in the </w:t>
      </w:r>
      <w:r w:rsidRPr="006622F3">
        <w:rPr>
          <w:color w:val="231F20"/>
          <w:spacing w:val="-2"/>
        </w:rPr>
        <w:t>regular</w:t>
      </w:r>
      <w:r w:rsidRPr="006622F3">
        <w:rPr>
          <w:color w:val="231F20"/>
          <w:spacing w:val="-12"/>
        </w:rPr>
        <w:t xml:space="preserve"> </w:t>
      </w:r>
      <w:r w:rsidRPr="006622F3">
        <w:rPr>
          <w:color w:val="231F20"/>
          <w:spacing w:val="-2"/>
        </w:rPr>
        <w:t>quarterly</w:t>
      </w:r>
      <w:r w:rsidRPr="006622F3">
        <w:rPr>
          <w:color w:val="231F20"/>
          <w:spacing w:val="-12"/>
        </w:rPr>
        <w:t xml:space="preserve"> </w:t>
      </w:r>
      <w:r w:rsidRPr="006622F3">
        <w:rPr>
          <w:color w:val="231F20"/>
          <w:spacing w:val="-2"/>
        </w:rPr>
        <w:t>bulletins</w:t>
      </w:r>
      <w:r w:rsidRPr="006622F3">
        <w:rPr>
          <w:color w:val="231F20"/>
          <w:spacing w:val="-12"/>
        </w:rPr>
        <w:t xml:space="preserve"> </w:t>
      </w:r>
      <w:r w:rsidRPr="006622F3">
        <w:rPr>
          <w:color w:val="231F20"/>
          <w:spacing w:val="-2"/>
        </w:rPr>
        <w:t>“Selected</w:t>
      </w:r>
      <w:r w:rsidRPr="006622F3">
        <w:rPr>
          <w:color w:val="231F20"/>
          <w:spacing w:val="-12"/>
        </w:rPr>
        <w:t xml:space="preserve"> </w:t>
      </w:r>
      <w:r w:rsidRPr="006622F3">
        <w:rPr>
          <w:color w:val="231F20"/>
          <w:spacing w:val="-2"/>
        </w:rPr>
        <w:t>Economic</w:t>
      </w:r>
      <w:r w:rsidRPr="006622F3">
        <w:rPr>
          <w:color w:val="231F20"/>
          <w:spacing w:val="-12"/>
        </w:rPr>
        <w:t xml:space="preserve"> </w:t>
      </w:r>
      <w:r w:rsidRPr="006622F3">
        <w:rPr>
          <w:color w:val="231F20"/>
          <w:spacing w:val="-2"/>
        </w:rPr>
        <w:t>Indicators”.</w:t>
      </w:r>
      <w:r w:rsidRPr="006622F3">
        <w:rPr>
          <w:color w:val="231F20"/>
          <w:spacing w:val="28"/>
        </w:rPr>
        <w:t xml:space="preserve"> </w:t>
      </w:r>
      <w:r w:rsidRPr="006622F3">
        <w:rPr>
          <w:color w:val="231F20"/>
          <w:spacing w:val="-2"/>
        </w:rPr>
        <w:t>The</w:t>
      </w:r>
      <w:r w:rsidRPr="006622F3">
        <w:rPr>
          <w:color w:val="231F20"/>
          <w:spacing w:val="-12"/>
        </w:rPr>
        <w:t xml:space="preserve"> </w:t>
      </w:r>
      <w:r w:rsidRPr="006622F3">
        <w:rPr>
          <w:color w:val="231F20"/>
          <w:spacing w:val="-2"/>
        </w:rPr>
        <w:t>main</w:t>
      </w:r>
      <w:r w:rsidRPr="006622F3">
        <w:rPr>
          <w:color w:val="231F20"/>
          <w:spacing w:val="-12"/>
        </w:rPr>
        <w:t xml:space="preserve"> </w:t>
      </w:r>
      <w:r w:rsidRPr="006622F3">
        <w:rPr>
          <w:color w:val="231F20"/>
          <w:spacing w:val="-2"/>
        </w:rPr>
        <w:t>element</w:t>
      </w:r>
      <w:r w:rsidRPr="006622F3">
        <w:rPr>
          <w:color w:val="231F20"/>
          <w:spacing w:val="-12"/>
        </w:rPr>
        <w:t xml:space="preserve"> </w:t>
      </w:r>
      <w:r w:rsidRPr="006622F3">
        <w:rPr>
          <w:color w:val="231F20"/>
          <w:spacing w:val="-2"/>
        </w:rPr>
        <w:t>of</w:t>
      </w:r>
      <w:r w:rsidRPr="006622F3">
        <w:rPr>
          <w:color w:val="231F20"/>
          <w:spacing w:val="-12"/>
        </w:rPr>
        <w:t xml:space="preserve"> </w:t>
      </w:r>
      <w:r w:rsidRPr="006622F3">
        <w:rPr>
          <w:color w:val="231F20"/>
          <w:spacing w:val="-2"/>
        </w:rPr>
        <w:t>the</w:t>
      </w:r>
      <w:r w:rsidRPr="006622F3">
        <w:rPr>
          <w:color w:val="231F20"/>
          <w:spacing w:val="-12"/>
        </w:rPr>
        <w:t xml:space="preserve"> </w:t>
      </w:r>
      <w:r w:rsidRPr="006622F3">
        <w:rPr>
          <w:color w:val="231F20"/>
          <w:spacing w:val="-2"/>
        </w:rPr>
        <w:t xml:space="preserve">system </w:t>
      </w:r>
      <w:r w:rsidRPr="006622F3">
        <w:rPr>
          <w:color w:val="231F20"/>
        </w:rPr>
        <w:t xml:space="preserve">is the monetary survey, which is a consolidation of the accounts of the Royal Monetary Authority and other Banks and Financial Institutions showing the financial relationship </w:t>
      </w:r>
      <w:r w:rsidRPr="006622F3">
        <w:rPr>
          <w:color w:val="231F20"/>
          <w:spacing w:val="-2"/>
        </w:rPr>
        <w:t>between</w:t>
      </w:r>
      <w:r w:rsidRPr="006622F3">
        <w:rPr>
          <w:color w:val="231F20"/>
          <w:spacing w:val="-10"/>
        </w:rPr>
        <w:t xml:space="preserve"> </w:t>
      </w:r>
      <w:r w:rsidRPr="006622F3">
        <w:rPr>
          <w:color w:val="231F20"/>
          <w:spacing w:val="-2"/>
        </w:rPr>
        <w:t>these</w:t>
      </w:r>
      <w:r w:rsidRPr="006622F3">
        <w:rPr>
          <w:color w:val="231F20"/>
          <w:spacing w:val="-10"/>
        </w:rPr>
        <w:t xml:space="preserve"> </w:t>
      </w:r>
      <w:r w:rsidRPr="006622F3">
        <w:rPr>
          <w:color w:val="231F20"/>
          <w:spacing w:val="-2"/>
        </w:rPr>
        <w:t>institutions</w:t>
      </w:r>
      <w:r w:rsidRPr="006622F3">
        <w:rPr>
          <w:color w:val="231F20"/>
          <w:spacing w:val="-10"/>
        </w:rPr>
        <w:t xml:space="preserve"> </w:t>
      </w:r>
      <w:r w:rsidRPr="006622F3">
        <w:rPr>
          <w:color w:val="231F20"/>
          <w:spacing w:val="-2"/>
        </w:rPr>
        <w:t>and</w:t>
      </w:r>
      <w:r w:rsidRPr="006622F3">
        <w:rPr>
          <w:color w:val="231F20"/>
          <w:spacing w:val="-10"/>
        </w:rPr>
        <w:t xml:space="preserve"> </w:t>
      </w:r>
      <w:r w:rsidRPr="006622F3">
        <w:rPr>
          <w:color w:val="231F20"/>
          <w:spacing w:val="-2"/>
        </w:rPr>
        <w:t>other</w:t>
      </w:r>
      <w:r w:rsidRPr="006622F3">
        <w:rPr>
          <w:color w:val="231F20"/>
          <w:spacing w:val="-10"/>
        </w:rPr>
        <w:t xml:space="preserve"> </w:t>
      </w:r>
      <w:r w:rsidRPr="006622F3">
        <w:rPr>
          <w:color w:val="231F20"/>
          <w:spacing w:val="-2"/>
        </w:rPr>
        <w:t>sectors</w:t>
      </w:r>
      <w:r w:rsidRPr="006622F3">
        <w:rPr>
          <w:color w:val="231F20"/>
          <w:spacing w:val="-10"/>
        </w:rPr>
        <w:t xml:space="preserve"> </w:t>
      </w:r>
      <w:r w:rsidRPr="006622F3">
        <w:rPr>
          <w:color w:val="231F20"/>
          <w:spacing w:val="-2"/>
        </w:rPr>
        <w:t>of</w:t>
      </w:r>
      <w:r w:rsidRPr="006622F3">
        <w:rPr>
          <w:color w:val="231F20"/>
          <w:spacing w:val="-10"/>
        </w:rPr>
        <w:t xml:space="preserve"> </w:t>
      </w:r>
      <w:r w:rsidRPr="006622F3">
        <w:rPr>
          <w:color w:val="231F20"/>
          <w:spacing w:val="-2"/>
        </w:rPr>
        <w:t>the</w:t>
      </w:r>
      <w:r w:rsidRPr="006622F3">
        <w:rPr>
          <w:color w:val="231F20"/>
          <w:spacing w:val="-10"/>
        </w:rPr>
        <w:t xml:space="preserve"> </w:t>
      </w:r>
      <w:r w:rsidRPr="006622F3">
        <w:rPr>
          <w:color w:val="231F20"/>
          <w:spacing w:val="-2"/>
        </w:rPr>
        <w:t>economy.</w:t>
      </w:r>
      <w:r w:rsidRPr="006622F3">
        <w:rPr>
          <w:color w:val="231F20"/>
          <w:spacing w:val="-10"/>
        </w:rPr>
        <w:t xml:space="preserve"> </w:t>
      </w:r>
      <w:r w:rsidRPr="006622F3">
        <w:rPr>
          <w:color w:val="231F20"/>
          <w:spacing w:val="-2"/>
        </w:rPr>
        <w:t>Items</w:t>
      </w:r>
      <w:r w:rsidRPr="006622F3">
        <w:rPr>
          <w:color w:val="231F20"/>
          <w:spacing w:val="-10"/>
        </w:rPr>
        <w:t xml:space="preserve"> </w:t>
      </w:r>
      <w:r w:rsidRPr="006622F3">
        <w:rPr>
          <w:color w:val="231F20"/>
          <w:spacing w:val="-2"/>
        </w:rPr>
        <w:t>covered</w:t>
      </w:r>
      <w:r w:rsidRPr="006622F3">
        <w:rPr>
          <w:color w:val="231F20"/>
          <w:spacing w:val="-10"/>
        </w:rPr>
        <w:t xml:space="preserve"> </w:t>
      </w:r>
      <w:r w:rsidRPr="006622F3">
        <w:rPr>
          <w:color w:val="231F20"/>
          <w:spacing w:val="-2"/>
        </w:rPr>
        <w:t>include</w:t>
      </w:r>
      <w:r w:rsidRPr="006622F3">
        <w:rPr>
          <w:color w:val="231F20"/>
          <w:spacing w:val="-10"/>
        </w:rPr>
        <w:t xml:space="preserve"> </w:t>
      </w:r>
      <w:r w:rsidRPr="006622F3">
        <w:rPr>
          <w:color w:val="231F20"/>
          <w:spacing w:val="-2"/>
        </w:rPr>
        <w:t xml:space="preserve">foreign </w:t>
      </w:r>
      <w:r w:rsidRPr="006622F3">
        <w:rPr>
          <w:color w:val="231F20"/>
        </w:rPr>
        <w:t>assets and domestic credit, together with information on the money supply. In addition, financial statements are also available for the two non-bank financial institution.</w:t>
      </w:r>
    </w:p>
    <w:p w14:paraId="054EC8BB"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EE7"/>
    <w:rsid w:val="00505EE7"/>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27C05"/>
  <w15:chartTrackingRefBased/>
  <w15:docId w15:val="{774D4B8C-3C95-4446-94BE-1376CCAF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EE7"/>
    <w:rPr>
      <w:sz w:val="20"/>
      <w:szCs w:val="32"/>
      <w:lang w:bidi="bo-CN"/>
    </w:rPr>
  </w:style>
  <w:style w:type="paragraph" w:styleId="Heading1">
    <w:name w:val="heading 1"/>
    <w:next w:val="Normal"/>
    <w:link w:val="Heading1Char"/>
    <w:uiPriority w:val="1"/>
    <w:qFormat/>
    <w:rsid w:val="00505EE7"/>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05EE7"/>
    <w:rPr>
      <w:rFonts w:ascii="Verdana" w:eastAsia="Verdana" w:hAnsi="Verdana" w:cs="Verdana"/>
      <w:b/>
      <w:color w:val="221F1F"/>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2022-08-16T10:00:00Z</dcterms:created>
  <dcterms:modified xsi:type="dcterms:W3CDTF">2022-08-16T10:01:00Z</dcterms:modified>
</cp:coreProperties>
</file>